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inline distB="0" distT="0" distL="114300" distR="114300">
            <wp:extent cx="4008120" cy="86868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8120" cy="868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</w:t>
      </w:r>
      <w:r w:rsidDel="00000000" w:rsidR="00000000" w:rsidRPr="00000000">
        <w:rPr/>
        <w:drawing>
          <wp:inline distB="0" distT="0" distL="0" distR="0">
            <wp:extent cx="929349" cy="950797"/>
            <wp:effectExtent b="0" l="0" r="0" t="0"/>
            <wp:docPr descr="C:\Users\utente\Desktop\Erasmus KA220-SCH-2023- UNG SL GR ITA\logos\logo-square.png" id="1" name="image1.png"/>
            <a:graphic>
              <a:graphicData uri="http://schemas.openxmlformats.org/drawingml/2006/picture">
                <pic:pic>
                  <pic:nvPicPr>
                    <pic:cNvPr descr="C:\Users\utente\Desktop\Erasmus KA220-SCH-2023- UNG SL GR ITA\logos\logo-square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9349" cy="950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04">
      <w:pPr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Liceo Schientifico Statale “Enrico Fermi” – Sciacca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 Staatsbürgerkunde: „Aktive Bürgerschaft und nachhaltige Gemeinschaftsräume“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4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Die Einheit verbindet die internationale Dimension des Projekts mit der bürgerschaftlichen Verantwortung gegenüber der Umwelt und der Schule.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="48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Ziele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Entwicklung von Respekt für die Umwelt und die Fähigkeit zur Zusammenarbeit in einem multikulturellen Kontext (mit Partnern aus Ungarn, Griechenland und der Slowakei).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48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Aktivitätsphasen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before="0" w:line="48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Das externe Klassenzimmer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Analyse und Einweihung des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externen Lehrraums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der vollständig aus nachhaltigen Materialien gebaut wurde und als Gemeinschaftsgut für zukünftige Lernaktivitäten dienen soll.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280" w:before="0" w:line="48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Workshop zur Abfallvermeidung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Diskussionsrunden über Ressourcenmanagement und Strategien zur Minimierung der täglichen Umweltauswirkungen im Sinne einer europäischen Gemeinschaft.</w:t>
      </w:r>
    </w:p>
    <w:p w:rsidR="00000000" w:rsidDel="00000000" w:rsidP="00000000" w:rsidRDefault="00000000" w:rsidRPr="00000000" w14:paraId="0000000D">
      <w:pPr>
        <w:spacing w:line="480" w:lineRule="auto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Kompetenzen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Einhaltung von Regeln des Zusammenlebens in Gemeinschaftsräumen, Bewusstsein für die Identität als europäischer Bürger und aktives Engagement für globale Nachhaltigkeit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29z35dhZPgHzdv76B0vJdgbzBA==">CgMxLjA4AHIhMXh3R1FEdHN5Y3ViMHh6Y1BtOEFUd2VUWk1ySVJfMTdU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